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8547F43"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EE2326">
        <w:t>99</w:t>
      </w:r>
      <w:r w:rsidR="0081776E">
        <w:t>e</w:t>
      </w:r>
      <w:r w:rsidRPr="009F0E8D">
        <w:tab/>
      </w:r>
      <w:r w:rsidR="00D46431" w:rsidRPr="009F0E8D">
        <w:tab/>
      </w:r>
      <w:r w:rsidR="00B50B4B" w:rsidRPr="00B50B4B">
        <w:t>R4-2109428</w:t>
      </w:r>
    </w:p>
    <w:p w14:paraId="50DC9730" w14:textId="784425CB" w:rsidR="00D309CC" w:rsidRPr="00FD166F" w:rsidRDefault="005B0B43" w:rsidP="00D46431">
      <w:pPr>
        <w:pStyle w:val="CH"/>
        <w:tabs>
          <w:tab w:val="clear" w:pos="7920"/>
        </w:tabs>
        <w:rPr>
          <w:b w:val="0"/>
        </w:rPr>
      </w:pPr>
      <w:r w:rsidRPr="005B0B43">
        <w:t xml:space="preserve">Electronic meeting, </w:t>
      </w:r>
      <w:r w:rsidR="004E2210">
        <w:t>19</w:t>
      </w:r>
      <w:r w:rsidR="004960AD">
        <w:t xml:space="preserve">th </w:t>
      </w:r>
      <w:r w:rsidR="004E2210">
        <w:t>– 27th May</w:t>
      </w:r>
      <w:r w:rsidR="00472271">
        <w:t xml:space="preserve"> </w:t>
      </w:r>
      <w:r w:rsidR="00472271" w:rsidRPr="00472271">
        <w:t>2021</w:t>
      </w:r>
      <w:r w:rsidR="00D46431" w:rsidRPr="009F0E8D">
        <w:tab/>
      </w:r>
    </w:p>
    <w:p w14:paraId="39A0EE25" w14:textId="77777777" w:rsidR="00D309CC" w:rsidRDefault="00D309CC" w:rsidP="00D309CC">
      <w:pPr>
        <w:tabs>
          <w:tab w:val="left" w:pos="2160"/>
        </w:tabs>
        <w:rPr>
          <w:rFonts w:ascii="Arial" w:hAnsi="Arial" w:cs="Arial"/>
          <w:b/>
        </w:rPr>
      </w:pPr>
    </w:p>
    <w:p w14:paraId="6DDCE159" w14:textId="7E80A197" w:rsidR="00D309CC" w:rsidRPr="0008103A" w:rsidRDefault="00D309CC" w:rsidP="00D309CC">
      <w:pPr>
        <w:pStyle w:val="CH"/>
        <w:rPr>
          <w:b w:val="0"/>
        </w:rPr>
      </w:pPr>
      <w:r w:rsidRPr="0008103A">
        <w:t>Agenda item:</w:t>
      </w:r>
      <w:r>
        <w:tab/>
      </w:r>
      <w:r w:rsidR="00EE2326">
        <w:t>6.1.2</w:t>
      </w:r>
    </w:p>
    <w:p w14:paraId="4DBE005A" w14:textId="27C41A03" w:rsidR="00D309CC" w:rsidRPr="0008103A" w:rsidRDefault="00D309CC" w:rsidP="00D309CC">
      <w:pPr>
        <w:pStyle w:val="CH"/>
        <w:rPr>
          <w:b w:val="0"/>
        </w:rPr>
      </w:pPr>
      <w:r>
        <w:t>Source:</w:t>
      </w:r>
      <w:r>
        <w:tab/>
        <w:t>Apple</w:t>
      </w:r>
    </w:p>
    <w:p w14:paraId="0D2061A1" w14:textId="60CC8845" w:rsidR="00D309CC" w:rsidRDefault="00D309CC" w:rsidP="005619F8">
      <w:pPr>
        <w:pStyle w:val="CH"/>
        <w:ind w:left="2268" w:hanging="2268"/>
      </w:pPr>
      <w:r w:rsidRPr="0008103A">
        <w:t>Title:</w:t>
      </w:r>
      <w:r w:rsidRPr="0008103A">
        <w:tab/>
      </w:r>
      <w:r w:rsidR="008B5422" w:rsidRPr="008B5422">
        <w:t xml:space="preserve">NR-U wideband </w:t>
      </w:r>
      <w:r w:rsidR="00472271">
        <w:t>operation and intra-carrier guard bands</w:t>
      </w:r>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2749539E" w:rsidR="00FE4478" w:rsidRDefault="00FE4478" w:rsidP="008E7986">
      <w:r>
        <w:t xml:space="preserve">NR-U WI </w:t>
      </w:r>
      <w:r w:rsidR="00655891">
        <w:fldChar w:fldCharType="begin"/>
      </w:r>
      <w:r w:rsidR="00655891">
        <w:instrText xml:space="preserve"> REF _Ref40269250 \r \h </w:instrText>
      </w:r>
      <w:r w:rsidR="00655891">
        <w:fldChar w:fldCharType="separate"/>
      </w:r>
      <w:r w:rsidR="00655891">
        <w:t>[1]</w:t>
      </w:r>
      <w:r w:rsidR="00655891">
        <w:fldChar w:fldCharType="end"/>
      </w:r>
      <w:r w:rsidR="00655891">
        <w:t xml:space="preserve"> </w:t>
      </w:r>
      <w:r w:rsidR="004F15AC">
        <w:t>specified</w:t>
      </w:r>
      <w:r>
        <w:t xml:space="preserve"> how the NR technology can be used on the unlicensed spectrum thus </w:t>
      </w:r>
      <w:r w:rsidR="00D9381C">
        <w:t>offering operators more resources in frequency bands, such as</w:t>
      </w:r>
      <w:r>
        <w:t xml:space="preserve"> </w:t>
      </w:r>
      <w:r w:rsidR="00441776">
        <w:t>5GHz</w:t>
      </w:r>
      <w:r w:rsidR="00D9381C">
        <w:t xml:space="preserve"> and 6GHz. Unlike licensed bands, co-existence with other technologies and systems must be ensured in unlicensed spectrum, for which a common procedure known</w:t>
      </w:r>
      <w:r w:rsidR="00441776">
        <w:t xml:space="preserve"> </w:t>
      </w:r>
      <w:r w:rsidR="00D9381C">
        <w:t>as listen-before-talk (LBT) is performed individually for every LBT sub-band of 20MHz whenever a transmission takes place. To optimise NR-U performance over larger channel bandwidths, a new feature called wide-band operation was devised</w:t>
      </w:r>
      <w:r w:rsidR="004E2210">
        <w:t xml:space="preserve"> </w:t>
      </w:r>
      <w:r w:rsidR="00D9381C">
        <w:t>enabl</w:t>
      </w:r>
      <w:r w:rsidR="004E2210">
        <w:t>ing</w:t>
      </w:r>
      <w:r w:rsidR="00D9381C">
        <w:t xml:space="preserve"> larger channel bandwidths (e.g. </w:t>
      </w:r>
      <w:proofErr w:type="gramStart"/>
      <w:r w:rsidR="00D9381C">
        <w:t>40..</w:t>
      </w:r>
      <w:proofErr w:type="gramEnd"/>
      <w:r w:rsidR="00D9381C">
        <w:t xml:space="preserve">80MHz) </w:t>
      </w:r>
      <w:r w:rsidR="004E2210">
        <w:t>by</w:t>
      </w:r>
      <w:r w:rsidR="00D9381C">
        <w:t xml:space="preserve"> performing the LBT procedure in </w:t>
      </w:r>
      <w:r w:rsidR="002F340B">
        <w:t xml:space="preserve">chunk of </w:t>
      </w:r>
      <w:r w:rsidR="00D9381C">
        <w:t xml:space="preserve">20MHz sub-bands. </w:t>
      </w:r>
    </w:p>
    <w:p w14:paraId="639F844B" w14:textId="22D9C749" w:rsidR="00BA1405" w:rsidRDefault="00BA1405" w:rsidP="008E7986">
      <w:r>
        <w:t>During the RAN4#97 meeting, two DL wide</w:t>
      </w:r>
      <w:r w:rsidR="00440041">
        <w:t>-</w:t>
      </w:r>
      <w:r>
        <w:t xml:space="preserve">band transmission modes were agreed for NR-U: </w:t>
      </w:r>
      <w:r w:rsidR="001713A8">
        <w:t xml:space="preserve">a) when a UE receives data assuming that LBT has succeeded in all the RB sets (baseline NR-U operation), and when a UE receives data only in particular RB sets because of LBT failure (optional with capability signalling).  </w:t>
      </w:r>
      <w:r w:rsidR="009C0F3D">
        <w:t xml:space="preserve">RAN WG4 also discussed about the relationship between different NR-U transmission modes and intra-carrier guard band configurations, but no conclusion was reached on that matter. </w:t>
      </w:r>
      <w:r w:rsidR="001713A8">
        <w:t xml:space="preserve"> </w:t>
      </w:r>
      <w:r w:rsidR="0081776E">
        <w:t>During the RAN4#98e meeting proponents also discussed about the NR-U intra-carrier guard band configuration for the minimum performance requirements, but no conclusion was reached either with regards to when zero-width intra-cell guard bands can/shall be used.</w:t>
      </w:r>
    </w:p>
    <w:p w14:paraId="06E92CC7" w14:textId="471512D7" w:rsidR="008E7986" w:rsidRDefault="009C0F3D" w:rsidP="008E7986">
      <w:r>
        <w:t>In</w:t>
      </w:r>
      <w:r w:rsidR="00655891">
        <w:t xml:space="preserve"> this discussion paper we </w:t>
      </w:r>
      <w:r>
        <w:t xml:space="preserve">present our further considerations on practical differences between different NR-U transmission modes and suggest </w:t>
      </w:r>
      <w:r w:rsidR="0081776E">
        <w:t>further</w:t>
      </w:r>
      <w:r>
        <w:t xml:space="preserve"> </w:t>
      </w:r>
      <w:r w:rsidR="0081776E">
        <w:t xml:space="preserve">clarifications </w:t>
      </w:r>
      <w:r>
        <w:t>to the intra-cell guard band configuration</w:t>
      </w:r>
      <w:r w:rsidR="00655891">
        <w:t>.</w:t>
      </w:r>
      <w:r w:rsidR="00DE7963">
        <w:t xml:space="preserve"> </w:t>
      </w:r>
    </w:p>
    <w:p w14:paraId="6FCA7FDF" w14:textId="3AEDB1A2" w:rsidR="00AD5712" w:rsidRDefault="00AD5712" w:rsidP="008E7986"/>
    <w:p w14:paraId="4BC47183" w14:textId="77777777" w:rsidR="009C0F3D" w:rsidRDefault="009C0F3D" w:rsidP="008E7986"/>
    <w:p w14:paraId="3A67921B" w14:textId="6126B4DA" w:rsidR="008E7986" w:rsidRDefault="008E7986" w:rsidP="008E7986">
      <w:pPr>
        <w:pStyle w:val="Heading1"/>
      </w:pPr>
      <w:r>
        <w:t>2</w:t>
      </w:r>
      <w:r>
        <w:tab/>
      </w:r>
      <w:r w:rsidR="00D9381C">
        <w:t xml:space="preserve">Wide-band </w:t>
      </w:r>
      <w:r w:rsidR="00440041">
        <w:t>operation</w:t>
      </w:r>
      <w:r w:rsidR="00D9381C">
        <w:t xml:space="preserve"> </w:t>
      </w:r>
      <w:r w:rsidR="000946C6">
        <w:t>and intra-carrier guard bands</w:t>
      </w:r>
      <w:r w:rsidR="00AD084F">
        <w:t xml:space="preserve"> </w:t>
      </w:r>
    </w:p>
    <w:p w14:paraId="5F6E4152" w14:textId="5BBABDBD" w:rsidR="004B5392" w:rsidRDefault="004B5392" w:rsidP="00602A59">
      <w:r>
        <w:t>As mentioned in the Introduction part, wide-band operation allows for configuring a larg</w:t>
      </w:r>
      <w:r w:rsidR="005532C0">
        <w:t>e</w:t>
      </w:r>
      <w:r>
        <w:t xml:space="preserve"> channel bandwidth that spans over several 20MHz LBT sub-bands. The premise idea is that if the LBT procedure fails in one of the sub-bands, the data still can be scheduled in other sub-bands. </w:t>
      </w:r>
      <w:r w:rsidR="008B5422">
        <w:t>Furthermore</w:t>
      </w:r>
      <w:r>
        <w:t xml:space="preserve">, </w:t>
      </w:r>
      <w:r w:rsidR="00AD5712">
        <w:t xml:space="preserve">if </w:t>
      </w:r>
      <w:r w:rsidR="00470FED">
        <w:t xml:space="preserve">the </w:t>
      </w:r>
      <w:r w:rsidR="00AD5712">
        <w:t xml:space="preserve">LBT procedure passes for several </w:t>
      </w:r>
      <w:r>
        <w:t xml:space="preserve">contiguous </w:t>
      </w:r>
      <w:r w:rsidR="00AD5712">
        <w:t>sub-bands, then data can be also scheduled in intra-carrier</w:t>
      </w:r>
      <w:r>
        <w:t xml:space="preserve"> guard bands</w:t>
      </w:r>
      <w:r w:rsidR="005532C0">
        <w:t>.</w:t>
      </w:r>
      <w:r w:rsidR="00AD5712">
        <w:t xml:space="preserve"> </w:t>
      </w:r>
      <w:r>
        <w:t xml:space="preserve">Figure </w:t>
      </w:r>
      <w:r w:rsidR="001713A8">
        <w:t>2-</w:t>
      </w:r>
      <w:r>
        <w:t>1 below</w:t>
      </w:r>
      <w:r w:rsidR="00132538">
        <w:t xml:space="preserve"> presents different outcomes of the LBT procedure for the 60MHz channel. </w:t>
      </w:r>
    </w:p>
    <w:p w14:paraId="1C207246" w14:textId="0A2ED62E" w:rsidR="009C0F3D" w:rsidRDefault="001713A8" w:rsidP="00602A59">
      <w:r>
        <w:t>It should be noted that from the UE perspective, only the first sub-case is supported as the baseline NR-U operation</w:t>
      </w:r>
      <w:r w:rsidR="00440041">
        <w:t xml:space="preserve">, </w:t>
      </w:r>
      <w:proofErr w:type="gramStart"/>
      <w:r w:rsidR="00440041">
        <w:t>i.e.</w:t>
      </w:r>
      <w:proofErr w:type="gramEnd"/>
      <w:r>
        <w:t xml:space="preserve"> a UE can receive data only if LBT on all the sub-bands succeed. </w:t>
      </w:r>
      <w:r w:rsidR="004F15AC">
        <w:t>To support data reception on a sub-set of LBT sub-bands</w:t>
      </w:r>
      <w:r w:rsidR="00440041">
        <w:t xml:space="preserve">, </w:t>
      </w:r>
      <w:r w:rsidR="004F15AC">
        <w:t xml:space="preserve">an </w:t>
      </w:r>
      <w:r w:rsidR="00440041">
        <w:t>optional UE capabilit</w:t>
      </w:r>
      <w:r w:rsidR="004F15AC">
        <w:t xml:space="preserve">y FG4-2 was agreed by RAN WG4 that indicates whether a UE can receive data when LBT does not succeed on all the sub-bands. In addition to that, another UE capability FG4-1 was added that indicates </w:t>
      </w:r>
      <w:r w:rsidR="00440041">
        <w:t xml:space="preserve">whether a UE can receive data in intra-carrier guard bands if LBT has succeeded for several contiguous sub-bands. </w:t>
      </w:r>
      <w:r w:rsidR="0081776E">
        <w:t>As for the UL operation, NR-U Rel-16 functionality defines only one mode whereupon data scheduling and transmission takes place only over a set of contiguous LBT sub-bands.</w:t>
      </w:r>
      <w:r w:rsidR="00440041">
        <w:t xml:space="preserve"> </w:t>
      </w:r>
      <w:r>
        <w:t xml:space="preserve"> </w:t>
      </w:r>
    </w:p>
    <w:p w14:paraId="7C970313" w14:textId="75B5C7AF" w:rsidR="00440041" w:rsidRDefault="00440041" w:rsidP="000946C6">
      <w:pPr>
        <w:pStyle w:val="Observation"/>
      </w:pPr>
      <w:r>
        <w:t>Observation 1a:</w:t>
      </w:r>
      <w:r>
        <w:tab/>
        <w:t xml:space="preserve">From the UE perspective, baseline NR-U functionality assumes that a UE </w:t>
      </w:r>
      <w:r w:rsidR="000946C6">
        <w:t xml:space="preserve">can </w:t>
      </w:r>
      <w:r>
        <w:t>receive</w:t>
      </w:r>
      <w:r w:rsidR="0081776E">
        <w:t>/send</w:t>
      </w:r>
      <w:r>
        <w:t xml:space="preserve"> data only if LBT succeeds in </w:t>
      </w:r>
      <w:r w:rsidR="0081776E">
        <w:t>a set of contiguous LBT sub-bands</w:t>
      </w:r>
      <w:r>
        <w:t>.</w:t>
      </w:r>
    </w:p>
    <w:p w14:paraId="0B08A0DD" w14:textId="72986DAE" w:rsidR="00440041" w:rsidRDefault="00440041" w:rsidP="000946C6">
      <w:pPr>
        <w:pStyle w:val="Observation"/>
      </w:pPr>
      <w:r>
        <w:t xml:space="preserve">Observation </w:t>
      </w:r>
      <w:r w:rsidR="000946C6">
        <w:t>1</w:t>
      </w:r>
      <w:r>
        <w:t>b:</w:t>
      </w:r>
      <w:r>
        <w:tab/>
        <w:t xml:space="preserve">There are additional optional UE capabilities that indicate whether a UE can receive data if one or more </w:t>
      </w:r>
      <w:r w:rsidR="000946C6">
        <w:t xml:space="preserve">LBT </w:t>
      </w:r>
      <w:r>
        <w:t>sub-bands have failed and whether a UE can receive data in intra-carrier guard bands.</w:t>
      </w:r>
    </w:p>
    <w:p w14:paraId="0AF56C19" w14:textId="77777777" w:rsidR="00440041" w:rsidRDefault="00440041" w:rsidP="00602A59"/>
    <w:p w14:paraId="3A70977F" w14:textId="73426878" w:rsidR="00132538" w:rsidRDefault="00132538" w:rsidP="00132538">
      <w:pPr>
        <w:jc w:val="center"/>
      </w:pPr>
      <w:r>
        <w:rPr>
          <w:noProof/>
        </w:rPr>
        <w:drawing>
          <wp:inline distT="0" distB="0" distL="0" distR="0" wp14:anchorId="48E9A8B6" wp14:editId="572BACA4">
            <wp:extent cx="3038475" cy="3826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se_60.eps"/>
                    <pic:cNvPicPr/>
                  </pic:nvPicPr>
                  <pic:blipFill>
                    <a:blip r:embed="rId9">
                      <a:extLst>
                        <a:ext uri="{28A0092B-C50C-407E-A947-70E740481C1C}">
                          <a14:useLocalDpi xmlns:a14="http://schemas.microsoft.com/office/drawing/2010/main" val="0"/>
                        </a:ext>
                      </a:extLst>
                    </a:blip>
                    <a:stretch>
                      <a:fillRect/>
                    </a:stretch>
                  </pic:blipFill>
                  <pic:spPr>
                    <a:xfrm>
                      <a:off x="0" y="0"/>
                      <a:ext cx="3257456" cy="410180"/>
                    </a:xfrm>
                    <a:prstGeom prst="rect">
                      <a:avLst/>
                    </a:prstGeom>
                  </pic:spPr>
                </pic:pic>
              </a:graphicData>
            </a:graphic>
          </wp:inline>
        </w:drawing>
      </w:r>
    </w:p>
    <w:p w14:paraId="7F1263A9" w14:textId="7CDE6ABD" w:rsidR="005C5495" w:rsidRDefault="005C5495" w:rsidP="00132538">
      <w:pPr>
        <w:jc w:val="center"/>
      </w:pPr>
      <w:r>
        <w:rPr>
          <w:noProof/>
        </w:rPr>
        <w:drawing>
          <wp:inline distT="0" distB="0" distL="0" distR="0" wp14:anchorId="3CED51B0" wp14:editId="07EF4C87">
            <wp:extent cx="3057525" cy="391031"/>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60_20p_40f.eps"/>
                    <pic:cNvPicPr/>
                  </pic:nvPicPr>
                  <pic:blipFill>
                    <a:blip r:embed="rId10">
                      <a:extLst>
                        <a:ext uri="{28A0092B-C50C-407E-A947-70E740481C1C}">
                          <a14:useLocalDpi xmlns:a14="http://schemas.microsoft.com/office/drawing/2010/main" val="0"/>
                        </a:ext>
                      </a:extLst>
                    </a:blip>
                    <a:stretch>
                      <a:fillRect/>
                    </a:stretch>
                  </pic:blipFill>
                  <pic:spPr>
                    <a:xfrm>
                      <a:off x="0" y="0"/>
                      <a:ext cx="3303286" cy="422462"/>
                    </a:xfrm>
                    <a:prstGeom prst="rect">
                      <a:avLst/>
                    </a:prstGeom>
                  </pic:spPr>
                </pic:pic>
              </a:graphicData>
            </a:graphic>
          </wp:inline>
        </w:drawing>
      </w:r>
    </w:p>
    <w:p w14:paraId="7BB1D29C" w14:textId="16045F18" w:rsidR="005C5495" w:rsidRDefault="005C5495" w:rsidP="00132538">
      <w:pPr>
        <w:jc w:val="center"/>
      </w:pPr>
      <w:r>
        <w:rPr>
          <w:noProof/>
        </w:rPr>
        <w:drawing>
          <wp:inline distT="0" distB="0" distL="0" distR="0" wp14:anchorId="40C0EBBE" wp14:editId="27781A2A">
            <wp:extent cx="3067050" cy="3862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se_60_40f_20p.eps"/>
                    <pic:cNvPicPr/>
                  </pic:nvPicPr>
                  <pic:blipFill>
                    <a:blip r:embed="rId11">
                      <a:extLst>
                        <a:ext uri="{28A0092B-C50C-407E-A947-70E740481C1C}">
                          <a14:useLocalDpi xmlns:a14="http://schemas.microsoft.com/office/drawing/2010/main" val="0"/>
                        </a:ext>
                      </a:extLst>
                    </a:blip>
                    <a:stretch>
                      <a:fillRect/>
                    </a:stretch>
                  </pic:blipFill>
                  <pic:spPr>
                    <a:xfrm>
                      <a:off x="0" y="0"/>
                      <a:ext cx="3523556" cy="443686"/>
                    </a:xfrm>
                    <a:prstGeom prst="rect">
                      <a:avLst/>
                    </a:prstGeom>
                  </pic:spPr>
                </pic:pic>
              </a:graphicData>
            </a:graphic>
          </wp:inline>
        </w:drawing>
      </w:r>
    </w:p>
    <w:p w14:paraId="20F062D2" w14:textId="09B902C8" w:rsidR="004B5392" w:rsidRDefault="00132538" w:rsidP="004B5392">
      <w:pPr>
        <w:jc w:val="center"/>
      </w:pPr>
      <w:r>
        <w:rPr>
          <w:noProof/>
        </w:rPr>
        <w:drawing>
          <wp:inline distT="0" distB="0" distL="0" distR="0" wp14:anchorId="19AC660F" wp14:editId="64ED2F68">
            <wp:extent cx="3067050" cy="386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e_60_40_20.eps"/>
                    <pic:cNvPicPr/>
                  </pic:nvPicPr>
                  <pic:blipFill>
                    <a:blip r:embed="rId12">
                      <a:extLst>
                        <a:ext uri="{28A0092B-C50C-407E-A947-70E740481C1C}">
                          <a14:useLocalDpi xmlns:a14="http://schemas.microsoft.com/office/drawing/2010/main" val="0"/>
                        </a:ext>
                      </a:extLst>
                    </a:blip>
                    <a:stretch>
                      <a:fillRect/>
                    </a:stretch>
                  </pic:blipFill>
                  <pic:spPr>
                    <a:xfrm>
                      <a:off x="0" y="0"/>
                      <a:ext cx="3216121" cy="404976"/>
                    </a:xfrm>
                    <a:prstGeom prst="rect">
                      <a:avLst/>
                    </a:prstGeom>
                  </pic:spPr>
                </pic:pic>
              </a:graphicData>
            </a:graphic>
          </wp:inline>
        </w:drawing>
      </w:r>
    </w:p>
    <w:p w14:paraId="5A0C39F9" w14:textId="2E3211A6" w:rsidR="00EE40A1" w:rsidRDefault="004B5392" w:rsidP="005C5495">
      <w:pPr>
        <w:jc w:val="center"/>
      </w:pPr>
      <w:r>
        <w:rPr>
          <w:noProof/>
        </w:rPr>
        <w:drawing>
          <wp:inline distT="0" distB="0" distL="0" distR="0" wp14:anchorId="0EC790C8" wp14:editId="47290728">
            <wp:extent cx="3067050" cy="3862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3_60_20_40.eps"/>
                    <pic:cNvPicPr/>
                  </pic:nvPicPr>
                  <pic:blipFill>
                    <a:blip r:embed="rId13">
                      <a:extLst>
                        <a:ext uri="{28A0092B-C50C-407E-A947-70E740481C1C}">
                          <a14:useLocalDpi xmlns:a14="http://schemas.microsoft.com/office/drawing/2010/main" val="0"/>
                        </a:ext>
                      </a:extLst>
                    </a:blip>
                    <a:stretch>
                      <a:fillRect/>
                    </a:stretch>
                  </pic:blipFill>
                  <pic:spPr>
                    <a:xfrm>
                      <a:off x="0" y="0"/>
                      <a:ext cx="3399740" cy="428098"/>
                    </a:xfrm>
                    <a:prstGeom prst="rect">
                      <a:avLst/>
                    </a:prstGeom>
                  </pic:spPr>
                </pic:pic>
              </a:graphicData>
            </a:graphic>
          </wp:inline>
        </w:drawing>
      </w:r>
    </w:p>
    <w:p w14:paraId="56AFE75F" w14:textId="5744F545" w:rsidR="00132538" w:rsidRDefault="00132538" w:rsidP="004B5392">
      <w:pPr>
        <w:jc w:val="center"/>
      </w:pPr>
      <w:r>
        <w:rPr>
          <w:noProof/>
        </w:rPr>
        <w:drawing>
          <wp:inline distT="0" distB="0" distL="0" distR="0" wp14:anchorId="0B823EF2" wp14:editId="2DF3EAEE">
            <wp:extent cx="3067050" cy="386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2_60_20_20_20.eps"/>
                    <pic:cNvPicPr/>
                  </pic:nvPicPr>
                  <pic:blipFill>
                    <a:blip r:embed="rId14">
                      <a:extLst>
                        <a:ext uri="{28A0092B-C50C-407E-A947-70E740481C1C}">
                          <a14:useLocalDpi xmlns:a14="http://schemas.microsoft.com/office/drawing/2010/main" val="0"/>
                        </a:ext>
                      </a:extLst>
                    </a:blip>
                    <a:stretch>
                      <a:fillRect/>
                    </a:stretch>
                  </pic:blipFill>
                  <pic:spPr>
                    <a:xfrm>
                      <a:off x="0" y="0"/>
                      <a:ext cx="3328259" cy="419096"/>
                    </a:xfrm>
                    <a:prstGeom prst="rect">
                      <a:avLst/>
                    </a:prstGeom>
                  </pic:spPr>
                </pic:pic>
              </a:graphicData>
            </a:graphic>
          </wp:inline>
        </w:drawing>
      </w:r>
    </w:p>
    <w:p w14:paraId="4581214A" w14:textId="00F369F1" w:rsidR="004B5392" w:rsidRDefault="004B5392" w:rsidP="004B5392">
      <w:pPr>
        <w:pStyle w:val="TF"/>
      </w:pPr>
      <w:r>
        <w:t xml:space="preserve">Figure </w:t>
      </w:r>
      <w:r w:rsidR="00876725">
        <w:t>2-</w:t>
      </w:r>
      <w:r>
        <w:t xml:space="preserve">1: Exemplary </w:t>
      </w:r>
      <w:r w:rsidR="00132538">
        <w:t xml:space="preserve">outcome of LBT for </w:t>
      </w:r>
      <w:r>
        <w:t xml:space="preserve">wide-band operation </w:t>
      </w:r>
      <w:r w:rsidR="00132538">
        <w:t>over</w:t>
      </w:r>
      <w:r>
        <w:t xml:space="preserve"> 60MHz channel. </w:t>
      </w:r>
    </w:p>
    <w:p w14:paraId="5B869232" w14:textId="77777777" w:rsidR="00CD1DAA" w:rsidRDefault="00CD1DAA" w:rsidP="00602A59"/>
    <w:p w14:paraId="14FED279" w14:textId="77777777" w:rsidR="000D20DD" w:rsidRDefault="000D20DD" w:rsidP="00602A59">
      <w:r>
        <w:t xml:space="preserve">During the RAN4#98e meeting there was a proposal to clarify when and which the minimum performance requirement would apply for the NR-U DL and UL operation. It has been unanimously agreed that the DL minimum performance requirements apply to the baseline NR-U operation when contiguous sub-bands pass the LBT procedure and for which zero-width intra-carrier guard band are configured. Indeed, since data reception takes place only for a contiguous set of LBT sub-bands, non-zero guard bands do not have any practical sense or meaning. As for the UL direction, companies were not able to reach the conclusion as several proponents suggested to have non-zero intra-carrier guard bands. At least our technical view is that zero-width intra-carrier guard bands should be assumed and configured because Rel-16 NR-U functionality does not even allow non-contiguous data transmission.   </w:t>
      </w:r>
    </w:p>
    <w:p w14:paraId="0EDD298D" w14:textId="41E56ACB" w:rsidR="000D20DD" w:rsidRDefault="000D20DD" w:rsidP="000D20DD">
      <w:pPr>
        <w:pStyle w:val="Proposal"/>
      </w:pPr>
      <w:bookmarkStart w:id="1" w:name="_Toc71534101"/>
      <w:bookmarkStart w:id="2" w:name="_Toc71532320"/>
      <w:r>
        <w:t>Proposal 1:</w:t>
      </w:r>
      <w:r>
        <w:tab/>
        <w:t>Zero-width intra-carrier guard bands should be assumed for the minimum DL/UL performance requirements.</w:t>
      </w:r>
      <w:bookmarkEnd w:id="1"/>
      <w:r>
        <w:t xml:space="preserve"> </w:t>
      </w:r>
      <w:bookmarkEnd w:id="2"/>
    </w:p>
    <w:p w14:paraId="6D44ADB0" w14:textId="54B092DC" w:rsidR="000D20DD" w:rsidRDefault="000D20DD" w:rsidP="00602A59">
      <w:r>
        <w:t xml:space="preserve"> </w:t>
      </w:r>
    </w:p>
    <w:p w14:paraId="5BDF32CB" w14:textId="693D3C71" w:rsidR="005532C0" w:rsidRDefault="00CD1DAA" w:rsidP="00602A59">
      <w:r>
        <w:t xml:space="preserve">While configuring </w:t>
      </w:r>
      <w:r w:rsidR="00470FED">
        <w:t xml:space="preserve">the </w:t>
      </w:r>
      <w:r>
        <w:t>NR-U operation, the base station signals the size of intra-carrier guard bands whereupon they can be zero, as follows from TS 38.101-1</w:t>
      </w:r>
      <w:r w:rsidR="00663AFB">
        <w:t xml:space="preserve"> (see an excerpt below)</w:t>
      </w:r>
      <w:r>
        <w:t xml:space="preserve">. </w:t>
      </w:r>
      <w:r w:rsidR="004F15AC">
        <w:t>If</w:t>
      </w:r>
      <w:r w:rsidR="00663AFB">
        <w:t xml:space="preserve"> a UE supports only the baseline NR-U wide-band functionality, </w:t>
      </w:r>
      <w:proofErr w:type="gramStart"/>
      <w:r w:rsidR="004F15AC">
        <w:t>i.e.</w:t>
      </w:r>
      <w:proofErr w:type="gramEnd"/>
      <w:r w:rsidR="004F15AC">
        <w:t xml:space="preserve"> data can be received only if LBT succeeds in all the sub-bands, then this mode of operation is very close if not identical to the legacy NR operation, which does not have any concept of intra-carrier guard bands. In other words, a UE</w:t>
      </w:r>
      <w:r w:rsidR="00663AFB">
        <w:t xml:space="preserve"> does not anticipate non-zero intra-cell guard band size because there is no use case or a scenario in which that information would be needed. </w:t>
      </w:r>
    </w:p>
    <w:p w14:paraId="1672A2DC" w14:textId="131CC8A1" w:rsidR="00CD1DAA" w:rsidRPr="00CD1DAA" w:rsidRDefault="00CD1DAA" w:rsidP="00663AFB">
      <w:pPr>
        <w:ind w:left="567"/>
      </w:pPr>
      <w:r w:rsidRPr="00CD1DAA">
        <w:t>If</w:t>
      </w:r>
      <w:r w:rsidRPr="00CD1DAA">
        <w:rPr>
          <w:lang w:val="en-US"/>
        </w:rPr>
        <w:t xml:space="preserve"> the UE is configured with zero width intra-cell guard bands for the uplink and downlink by the </w:t>
      </w:r>
      <w:r w:rsidRPr="00CD1DAA">
        <w:t xml:space="preserve">IE </w:t>
      </w:r>
      <w:proofErr w:type="spellStart"/>
      <w:r w:rsidRPr="00CD1DAA">
        <w:rPr>
          <w:i/>
          <w:iCs/>
        </w:rPr>
        <w:t>intraCellGuardBands</w:t>
      </w:r>
      <w:r w:rsidRPr="00CD1DAA">
        <w:rPr>
          <w:i/>
        </w:rPr>
        <w:t>UL</w:t>
      </w:r>
      <w:proofErr w:type="spellEnd"/>
      <w:r w:rsidRPr="00CD1DAA">
        <w:rPr>
          <w:i/>
        </w:rPr>
        <w:t>-List</w:t>
      </w:r>
      <w:r w:rsidRPr="00CD1DAA">
        <w:t xml:space="preserve"> and </w:t>
      </w:r>
      <w:proofErr w:type="spellStart"/>
      <w:r w:rsidRPr="00CD1DAA">
        <w:rPr>
          <w:i/>
        </w:rPr>
        <w:t>intraCellGuardBandsDL</w:t>
      </w:r>
      <w:proofErr w:type="spellEnd"/>
      <w:r w:rsidRPr="00CD1DAA">
        <w:rPr>
          <w:i/>
        </w:rPr>
        <w:t>-List</w:t>
      </w:r>
      <w:r w:rsidRPr="00CD1DAA">
        <w:t xml:space="preserve"> [7] </w:t>
      </w:r>
      <w:r w:rsidRPr="00CD1DAA">
        <w:rPr>
          <w:lang w:val="en-US"/>
        </w:rPr>
        <w:t xml:space="preserve">on a carrier greater than 20 MHz, the </w:t>
      </w:r>
      <w:r w:rsidRPr="00CD1DAA">
        <w:t>maximum transmission bandwidth configuration for the uplink and downlink shall be in accordance with clause 5.3.2 with a minimum inter-cell guard band of the UE channel bandwidth as specified in Table 5.3.3-1.</w:t>
      </w:r>
    </w:p>
    <w:p w14:paraId="573226F5" w14:textId="3DF30487" w:rsidR="00470FED" w:rsidRDefault="00470FED" w:rsidP="00602A59"/>
    <w:p w14:paraId="606C2DC5" w14:textId="4D56BE12" w:rsidR="00CD1DAA" w:rsidRDefault="00470FED" w:rsidP="00602A59">
      <w:r>
        <w:t xml:space="preserve">It should be also noted that the latest version of TS 38.101-1 specifies that if intra-cell guard bands are not signalled, then default </w:t>
      </w:r>
      <w:r w:rsidR="007616C1">
        <w:t xml:space="preserve">nominal </w:t>
      </w:r>
      <w:r>
        <w:t xml:space="preserve">non-zero size applies. This however </w:t>
      </w:r>
      <w:r w:rsidR="007616C1">
        <w:t>somewhat</w:t>
      </w:r>
      <w:r>
        <w:t xml:space="preserve"> contradicts to the </w:t>
      </w:r>
      <w:r w:rsidR="007616C1">
        <w:t xml:space="preserve">latest RAN WG4 agreements on the available transmission modes. If a UE capability to receive data in a sub-set of succeeded LBT sub-bands is controlled by the corresponding optional capability and the default baseline behaviour assumes that all LBT sub-bands must succeed, then it is more logical to assume that default intra-cell guard band configuration corresponds to zero width guard bands. </w:t>
      </w:r>
      <w:r>
        <w:t xml:space="preserve"> </w:t>
      </w:r>
    </w:p>
    <w:p w14:paraId="20D036C7" w14:textId="000F10C9" w:rsidR="008E1DFC" w:rsidRDefault="00212AB3" w:rsidP="00212AB3">
      <w:pPr>
        <w:pStyle w:val="Proposal"/>
      </w:pPr>
      <w:bookmarkStart w:id="3" w:name="_Toc54383818"/>
      <w:bookmarkStart w:id="4" w:name="_Toc54384572"/>
      <w:bookmarkStart w:id="5" w:name="_Toc54384643"/>
      <w:bookmarkStart w:id="6" w:name="_Toc61271681"/>
      <w:bookmarkStart w:id="7" w:name="_Toc61273236"/>
      <w:bookmarkStart w:id="8" w:name="_Toc61274693"/>
      <w:bookmarkStart w:id="9" w:name="_Toc71532321"/>
      <w:bookmarkStart w:id="10" w:name="_Toc71534102"/>
      <w:bookmarkStart w:id="11" w:name="_Toc53323886"/>
      <w:bookmarkStart w:id="12" w:name="_Toc53324289"/>
      <w:bookmarkStart w:id="13" w:name="_Toc53326774"/>
      <w:bookmarkStart w:id="14" w:name="_Toc53692377"/>
      <w:bookmarkStart w:id="15" w:name="_Toc53692795"/>
      <w:bookmarkStart w:id="16" w:name="_Toc53693458"/>
      <w:bookmarkStart w:id="17" w:name="_Toc54179179"/>
      <w:bookmarkStart w:id="18" w:name="_Toc54180913"/>
      <w:bookmarkStart w:id="19" w:name="_Toc54284429"/>
      <w:r>
        <w:t>Proposal</w:t>
      </w:r>
      <w:r w:rsidR="000D20DD">
        <w:t xml:space="preserve"> 2</w:t>
      </w:r>
      <w:r>
        <w:t>:</w:t>
      </w:r>
      <w:r>
        <w:tab/>
      </w:r>
      <w:r w:rsidR="00FB4E37">
        <w:t xml:space="preserve">Introduce changes to TS 38.101-1 </w:t>
      </w:r>
      <w:r w:rsidR="000D20DD">
        <w:t>to clarify that if intra-cell guard bands are not signalled, then zero-width guard bands are assumed</w:t>
      </w:r>
      <w:r w:rsidR="008E1DFC">
        <w:t>.</w:t>
      </w:r>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p w14:paraId="1AC71ADC" w14:textId="34977E19" w:rsidR="006518DA" w:rsidRPr="00BE414D" w:rsidRDefault="006518DA" w:rsidP="00FB4E37">
      <w:pPr>
        <w:pStyle w:val="Proposal"/>
        <w:ind w:left="0" w:firstLine="0"/>
      </w:pPr>
    </w:p>
    <w:p w14:paraId="34C99636" w14:textId="0D5E0C54" w:rsidR="008E7986" w:rsidRDefault="008D3B0B" w:rsidP="008E7986">
      <w:pPr>
        <w:pStyle w:val="Heading1"/>
      </w:pPr>
      <w:r>
        <w:t>3</w:t>
      </w:r>
      <w:r w:rsidR="008E7986">
        <w:tab/>
        <w:t>Conclusions</w:t>
      </w:r>
    </w:p>
    <w:p w14:paraId="001A58A1" w14:textId="2B4EF893" w:rsidR="00E72324" w:rsidRDefault="00515AE4" w:rsidP="00E72324">
      <w:r>
        <w:t xml:space="preserve">In this discussion paper we have presented our further considerations for </w:t>
      </w:r>
      <w:r w:rsidR="00194772">
        <w:t xml:space="preserve">NR-U </w:t>
      </w:r>
      <w:r w:rsidR="00EA1F10">
        <w:t xml:space="preserve">wide-band </w:t>
      </w:r>
      <w:r w:rsidR="007616C1">
        <w:t>operation and the intra-carrier guard bands</w:t>
      </w:r>
      <w:r w:rsidR="00EA1F10">
        <w:t xml:space="preserve">. </w:t>
      </w:r>
      <w:r w:rsidR="00194772">
        <w:t xml:space="preserve">As a summary of our </w:t>
      </w:r>
      <w:proofErr w:type="gramStart"/>
      <w:r w:rsidR="00194772">
        <w:t>paper</w:t>
      </w:r>
      <w:proofErr w:type="gramEnd"/>
      <w:r w:rsidR="00194772">
        <w:t xml:space="preserve"> we propose</w:t>
      </w:r>
      <w:r w:rsidR="00DE5FAA">
        <w:t xml:space="preserve"> to introduce changes to TS 38.101-1 to align NR-U wide-band operation modes with intra-carrier guard band configurations</w:t>
      </w:r>
      <w:r w:rsidR="00FE1A7E">
        <w:t xml:space="preserve">; the corresponding changes can be found in </w:t>
      </w:r>
      <w:r w:rsidR="00FE1A7E">
        <w:fldChar w:fldCharType="begin"/>
      </w:r>
      <w:r w:rsidR="00FE1A7E">
        <w:instrText xml:space="preserve"> REF _Ref61623978 \r \h </w:instrText>
      </w:r>
      <w:r w:rsidR="00FE1A7E">
        <w:fldChar w:fldCharType="separate"/>
      </w:r>
      <w:r w:rsidR="00FE1A7E">
        <w:t>[3]</w:t>
      </w:r>
      <w:r w:rsidR="00FE1A7E">
        <w:fldChar w:fldCharType="end"/>
      </w:r>
      <w:r w:rsidR="00FE1A7E">
        <w:t>.</w:t>
      </w:r>
    </w:p>
    <w:p w14:paraId="0CD65C01" w14:textId="77777777" w:rsidR="000D20DD"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0D20DD">
        <w:rPr>
          <w:noProof/>
        </w:rPr>
        <w:t>Proposal 1:</w:t>
      </w:r>
      <w:r w:rsidR="000D20DD">
        <w:rPr>
          <w:rFonts w:asciiTheme="minorHAnsi" w:eastAsiaTheme="minorEastAsia" w:hAnsiTheme="minorHAnsi" w:cstheme="minorBidi"/>
          <w:b w:val="0"/>
          <w:bCs w:val="0"/>
          <w:noProof/>
          <w:sz w:val="24"/>
          <w:szCs w:val="24"/>
          <w:lang w:val="en-DE" w:eastAsia="ko-KR"/>
        </w:rPr>
        <w:tab/>
      </w:r>
      <w:r w:rsidR="000D20DD">
        <w:rPr>
          <w:noProof/>
        </w:rPr>
        <w:t>Zero-width intra-carrier guard bands should be assumed for the minimum DL/UL performance requirements.</w:t>
      </w:r>
    </w:p>
    <w:p w14:paraId="16944DDC" w14:textId="77777777" w:rsidR="000D20DD" w:rsidRDefault="000D20DD">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Introduce changes to TS 38.101-1 to clarify that if intra-cell guard bands are not signalled, then zero-width guard bands are assumed.</w:t>
      </w:r>
    </w:p>
    <w:p w14:paraId="05CC6F0A" w14:textId="527BACF0" w:rsidR="005E69AE" w:rsidRDefault="0062595A" w:rsidP="009F6A53">
      <w:r>
        <w:rPr>
          <w:b/>
          <w:bCs/>
        </w:rPr>
        <w:fldChar w:fldCharType="end"/>
      </w:r>
    </w:p>
    <w:p w14:paraId="4D133CD8" w14:textId="09FDFF7E" w:rsidR="00276EE4" w:rsidRPr="003A0483" w:rsidRDefault="005E69AE" w:rsidP="0034070F">
      <w:pPr>
        <w:pStyle w:val="Heading1"/>
      </w:pPr>
      <w:r>
        <w:t>4</w:t>
      </w:r>
      <w:r>
        <w:tab/>
        <w:t>References</w:t>
      </w:r>
    </w:p>
    <w:p w14:paraId="02656AEC" w14:textId="308E8ABE" w:rsidR="005E69AE" w:rsidRDefault="003251B9" w:rsidP="00276EE4">
      <w:pPr>
        <w:pStyle w:val="EX"/>
      </w:pPr>
      <w:bookmarkStart w:id="20" w:name="_Ref13820109"/>
      <w:bookmarkStart w:id="21" w:name="_Ref37077689"/>
      <w:bookmarkStart w:id="22" w:name="_Ref40269250"/>
      <w:r w:rsidRPr="003251B9">
        <w:t>RP-1912926</w:t>
      </w:r>
      <w:r w:rsidR="00667164">
        <w:t>, "</w:t>
      </w:r>
      <w:r w:rsidRPr="003251B9">
        <w:t xml:space="preserve">WID on NR-based Access to Unlicensed Spectrum </w:t>
      </w:r>
      <w:r w:rsidR="00667164">
        <w:t xml:space="preserve">", </w:t>
      </w:r>
      <w:bookmarkEnd w:id="20"/>
      <w:bookmarkEnd w:id="21"/>
      <w:r>
        <w:t>Qualcomm Inc.</w:t>
      </w:r>
      <w:bookmarkEnd w:id="22"/>
    </w:p>
    <w:p w14:paraId="5585F3B1" w14:textId="380CF099" w:rsidR="00655891" w:rsidRDefault="00AD5712" w:rsidP="00276EE4">
      <w:pPr>
        <w:pStyle w:val="EX"/>
      </w:pPr>
      <w:bookmarkStart w:id="23" w:name="_Ref47521675"/>
      <w:r w:rsidRPr="00AD5712">
        <w:t>R1-2004965</w:t>
      </w:r>
      <w:r>
        <w:t>, "</w:t>
      </w:r>
      <w:r w:rsidRPr="00AD5712">
        <w:t>LS on UE capability on wideband carrier operation for NR-U</w:t>
      </w:r>
      <w:r>
        <w:t>", RAN WG1</w:t>
      </w:r>
      <w:bookmarkEnd w:id="23"/>
    </w:p>
    <w:p w14:paraId="6376F9F7" w14:textId="4E8CF488" w:rsidR="00DE5FAA" w:rsidRDefault="00DE5FAA" w:rsidP="00276EE4">
      <w:pPr>
        <w:pStyle w:val="EX"/>
      </w:pPr>
      <w:bookmarkStart w:id="24" w:name="_Ref61623978"/>
      <w:r w:rsidRPr="00DE5FAA">
        <w:t>R4-210051</w:t>
      </w:r>
      <w:r w:rsidR="000327B9">
        <w:t>2</w:t>
      </w:r>
      <w:r>
        <w:t>, "</w:t>
      </w:r>
      <w:r w:rsidRPr="00DE5FAA">
        <w:t>Corrections of NR-U wideband operation intra-carrier guard bands</w:t>
      </w:r>
      <w:r>
        <w:t>", Apple Inc.</w:t>
      </w:r>
      <w:bookmarkEnd w:id="24"/>
    </w:p>
    <w:bookmarkEnd w:id="0"/>
    <w:p w14:paraId="2C7BC95E" w14:textId="77777777" w:rsidR="00080512" w:rsidRDefault="00080512"/>
    <w:sectPr w:rsidR="00080512"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F3A66" w14:textId="77777777" w:rsidR="00CA53AF" w:rsidRDefault="00CA53AF">
      <w:r>
        <w:separator/>
      </w:r>
    </w:p>
  </w:endnote>
  <w:endnote w:type="continuationSeparator" w:id="0">
    <w:p w14:paraId="2149E5C2" w14:textId="77777777" w:rsidR="00CA53AF" w:rsidRDefault="00CA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21860" w14:textId="77777777" w:rsidR="00CA53AF" w:rsidRDefault="00CA53AF">
      <w:r>
        <w:separator/>
      </w:r>
    </w:p>
  </w:footnote>
  <w:footnote w:type="continuationSeparator" w:id="0">
    <w:p w14:paraId="648C8E3C" w14:textId="77777777" w:rsidR="00CA53AF" w:rsidRDefault="00CA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3D"/>
    <w:rsid w:val="00007D52"/>
    <w:rsid w:val="00031ACB"/>
    <w:rsid w:val="000327B9"/>
    <w:rsid w:val="00033397"/>
    <w:rsid w:val="00040095"/>
    <w:rsid w:val="00051834"/>
    <w:rsid w:val="00054A22"/>
    <w:rsid w:val="00062023"/>
    <w:rsid w:val="000644EB"/>
    <w:rsid w:val="000655A6"/>
    <w:rsid w:val="0007374F"/>
    <w:rsid w:val="000741FE"/>
    <w:rsid w:val="00075997"/>
    <w:rsid w:val="00080512"/>
    <w:rsid w:val="00087C63"/>
    <w:rsid w:val="000946C6"/>
    <w:rsid w:val="000A365D"/>
    <w:rsid w:val="000A6269"/>
    <w:rsid w:val="000A68F3"/>
    <w:rsid w:val="000A7F3D"/>
    <w:rsid w:val="000B1FA3"/>
    <w:rsid w:val="000B3353"/>
    <w:rsid w:val="000C47C3"/>
    <w:rsid w:val="000C7305"/>
    <w:rsid w:val="000D2064"/>
    <w:rsid w:val="000D20DD"/>
    <w:rsid w:val="000D2998"/>
    <w:rsid w:val="000D58AB"/>
    <w:rsid w:val="000D5C14"/>
    <w:rsid w:val="000E278A"/>
    <w:rsid w:val="000E4B59"/>
    <w:rsid w:val="001018E4"/>
    <w:rsid w:val="00104BC6"/>
    <w:rsid w:val="00112DB5"/>
    <w:rsid w:val="00114E2C"/>
    <w:rsid w:val="001247AA"/>
    <w:rsid w:val="001265D9"/>
    <w:rsid w:val="00126CA9"/>
    <w:rsid w:val="001300D2"/>
    <w:rsid w:val="00132538"/>
    <w:rsid w:val="00133525"/>
    <w:rsid w:val="001357DC"/>
    <w:rsid w:val="001416B7"/>
    <w:rsid w:val="001431B5"/>
    <w:rsid w:val="001462A8"/>
    <w:rsid w:val="00164AF9"/>
    <w:rsid w:val="00165EE6"/>
    <w:rsid w:val="001713A8"/>
    <w:rsid w:val="001729FA"/>
    <w:rsid w:val="00182CE6"/>
    <w:rsid w:val="00194772"/>
    <w:rsid w:val="001A074C"/>
    <w:rsid w:val="001A4C42"/>
    <w:rsid w:val="001B308C"/>
    <w:rsid w:val="001B4D3F"/>
    <w:rsid w:val="001C21C3"/>
    <w:rsid w:val="001D02C2"/>
    <w:rsid w:val="001E4F49"/>
    <w:rsid w:val="001E6EB2"/>
    <w:rsid w:val="001E732B"/>
    <w:rsid w:val="001F0C1D"/>
    <w:rsid w:val="001F1132"/>
    <w:rsid w:val="001F168B"/>
    <w:rsid w:val="001F1EBD"/>
    <w:rsid w:val="00212AB3"/>
    <w:rsid w:val="00212BAE"/>
    <w:rsid w:val="00230DA7"/>
    <w:rsid w:val="00231873"/>
    <w:rsid w:val="002347A2"/>
    <w:rsid w:val="002427D9"/>
    <w:rsid w:val="00247926"/>
    <w:rsid w:val="00250F32"/>
    <w:rsid w:val="0025584B"/>
    <w:rsid w:val="00255BF5"/>
    <w:rsid w:val="002634B7"/>
    <w:rsid w:val="002675F0"/>
    <w:rsid w:val="00276EE4"/>
    <w:rsid w:val="00294E47"/>
    <w:rsid w:val="002A133B"/>
    <w:rsid w:val="002A52AA"/>
    <w:rsid w:val="002A571F"/>
    <w:rsid w:val="002B6339"/>
    <w:rsid w:val="002E00EE"/>
    <w:rsid w:val="002E555B"/>
    <w:rsid w:val="002F340B"/>
    <w:rsid w:val="002F6B48"/>
    <w:rsid w:val="00314FF2"/>
    <w:rsid w:val="003172DC"/>
    <w:rsid w:val="003251B9"/>
    <w:rsid w:val="00330A27"/>
    <w:rsid w:val="00331EE3"/>
    <w:rsid w:val="0034052F"/>
    <w:rsid w:val="0034070F"/>
    <w:rsid w:val="0035462D"/>
    <w:rsid w:val="00355119"/>
    <w:rsid w:val="003735A2"/>
    <w:rsid w:val="003765B8"/>
    <w:rsid w:val="0037777C"/>
    <w:rsid w:val="003A0483"/>
    <w:rsid w:val="003A76CF"/>
    <w:rsid w:val="003B57B3"/>
    <w:rsid w:val="003C3971"/>
    <w:rsid w:val="003E2F3F"/>
    <w:rsid w:val="003E7753"/>
    <w:rsid w:val="00405DE0"/>
    <w:rsid w:val="0040718D"/>
    <w:rsid w:val="00423334"/>
    <w:rsid w:val="00425DC6"/>
    <w:rsid w:val="004345EC"/>
    <w:rsid w:val="00434669"/>
    <w:rsid w:val="00436007"/>
    <w:rsid w:val="00440041"/>
    <w:rsid w:val="004404A5"/>
    <w:rsid w:val="00441776"/>
    <w:rsid w:val="00447857"/>
    <w:rsid w:val="004516C7"/>
    <w:rsid w:val="00470FED"/>
    <w:rsid w:val="00472271"/>
    <w:rsid w:val="004826A9"/>
    <w:rsid w:val="00494877"/>
    <w:rsid w:val="004960AD"/>
    <w:rsid w:val="004B22A4"/>
    <w:rsid w:val="004B3064"/>
    <w:rsid w:val="004B5392"/>
    <w:rsid w:val="004C1601"/>
    <w:rsid w:val="004D3578"/>
    <w:rsid w:val="004E213A"/>
    <w:rsid w:val="004E2210"/>
    <w:rsid w:val="004F0988"/>
    <w:rsid w:val="004F15AC"/>
    <w:rsid w:val="004F2142"/>
    <w:rsid w:val="004F3340"/>
    <w:rsid w:val="004F3E3D"/>
    <w:rsid w:val="004F3FC3"/>
    <w:rsid w:val="005013E5"/>
    <w:rsid w:val="00515AE4"/>
    <w:rsid w:val="00522A94"/>
    <w:rsid w:val="0053388B"/>
    <w:rsid w:val="00535773"/>
    <w:rsid w:val="00543E6C"/>
    <w:rsid w:val="005441F6"/>
    <w:rsid w:val="00551363"/>
    <w:rsid w:val="005532C0"/>
    <w:rsid w:val="005619F8"/>
    <w:rsid w:val="0056236F"/>
    <w:rsid w:val="00565087"/>
    <w:rsid w:val="00571C84"/>
    <w:rsid w:val="00572E14"/>
    <w:rsid w:val="00592192"/>
    <w:rsid w:val="005973BE"/>
    <w:rsid w:val="005A093B"/>
    <w:rsid w:val="005A3830"/>
    <w:rsid w:val="005A5986"/>
    <w:rsid w:val="005B0B43"/>
    <w:rsid w:val="005C5495"/>
    <w:rsid w:val="005C63FF"/>
    <w:rsid w:val="005D1F6E"/>
    <w:rsid w:val="005D2E01"/>
    <w:rsid w:val="005D4385"/>
    <w:rsid w:val="005D7526"/>
    <w:rsid w:val="005E587F"/>
    <w:rsid w:val="005E69AE"/>
    <w:rsid w:val="005F529C"/>
    <w:rsid w:val="005F5987"/>
    <w:rsid w:val="00602A59"/>
    <w:rsid w:val="00602AEA"/>
    <w:rsid w:val="00604EFF"/>
    <w:rsid w:val="00607E3C"/>
    <w:rsid w:val="00612B57"/>
    <w:rsid w:val="00614FDF"/>
    <w:rsid w:val="00615F41"/>
    <w:rsid w:val="006232AF"/>
    <w:rsid w:val="00623A42"/>
    <w:rsid w:val="006246A7"/>
    <w:rsid w:val="0062595A"/>
    <w:rsid w:val="0063543D"/>
    <w:rsid w:val="00647114"/>
    <w:rsid w:val="006518DA"/>
    <w:rsid w:val="00654787"/>
    <w:rsid w:val="00655891"/>
    <w:rsid w:val="00663AFB"/>
    <w:rsid w:val="00667164"/>
    <w:rsid w:val="006901D2"/>
    <w:rsid w:val="00690481"/>
    <w:rsid w:val="006915D7"/>
    <w:rsid w:val="006A323F"/>
    <w:rsid w:val="006A6BD0"/>
    <w:rsid w:val="006B30D0"/>
    <w:rsid w:val="006C3D95"/>
    <w:rsid w:val="006E3C1C"/>
    <w:rsid w:val="006E3DB1"/>
    <w:rsid w:val="006E5C86"/>
    <w:rsid w:val="006E73A3"/>
    <w:rsid w:val="00706528"/>
    <w:rsid w:val="007071A1"/>
    <w:rsid w:val="0071280F"/>
    <w:rsid w:val="00712A2B"/>
    <w:rsid w:val="00713C44"/>
    <w:rsid w:val="007317A7"/>
    <w:rsid w:val="00734A5B"/>
    <w:rsid w:val="0074026F"/>
    <w:rsid w:val="007429F6"/>
    <w:rsid w:val="00744E76"/>
    <w:rsid w:val="00745D32"/>
    <w:rsid w:val="007469C7"/>
    <w:rsid w:val="00752198"/>
    <w:rsid w:val="00752CCE"/>
    <w:rsid w:val="00753881"/>
    <w:rsid w:val="00756E85"/>
    <w:rsid w:val="007616C1"/>
    <w:rsid w:val="007634A5"/>
    <w:rsid w:val="00774DA4"/>
    <w:rsid w:val="00777DE6"/>
    <w:rsid w:val="00781F0F"/>
    <w:rsid w:val="00782EF3"/>
    <w:rsid w:val="00793DF9"/>
    <w:rsid w:val="00795206"/>
    <w:rsid w:val="007B56DB"/>
    <w:rsid w:val="007B600E"/>
    <w:rsid w:val="007E106F"/>
    <w:rsid w:val="007E778F"/>
    <w:rsid w:val="007F0F4A"/>
    <w:rsid w:val="007F27A5"/>
    <w:rsid w:val="0080104E"/>
    <w:rsid w:val="008028A4"/>
    <w:rsid w:val="00803BF8"/>
    <w:rsid w:val="00815191"/>
    <w:rsid w:val="00816B06"/>
    <w:rsid w:val="0081776E"/>
    <w:rsid w:val="00820B25"/>
    <w:rsid w:val="0082139C"/>
    <w:rsid w:val="00830747"/>
    <w:rsid w:val="008330B3"/>
    <w:rsid w:val="00855D88"/>
    <w:rsid w:val="00876725"/>
    <w:rsid w:val="008768CA"/>
    <w:rsid w:val="00887CC4"/>
    <w:rsid w:val="008A00F6"/>
    <w:rsid w:val="008A22DD"/>
    <w:rsid w:val="008B1DED"/>
    <w:rsid w:val="008B5422"/>
    <w:rsid w:val="008C384C"/>
    <w:rsid w:val="008D07EC"/>
    <w:rsid w:val="008D3B0B"/>
    <w:rsid w:val="008D4A90"/>
    <w:rsid w:val="008E1DFC"/>
    <w:rsid w:val="008E3F25"/>
    <w:rsid w:val="008E7986"/>
    <w:rsid w:val="008E7A16"/>
    <w:rsid w:val="0090271F"/>
    <w:rsid w:val="00902E23"/>
    <w:rsid w:val="009114D7"/>
    <w:rsid w:val="0091348E"/>
    <w:rsid w:val="00917CCB"/>
    <w:rsid w:val="00942EC2"/>
    <w:rsid w:val="009767A4"/>
    <w:rsid w:val="00997130"/>
    <w:rsid w:val="00997C58"/>
    <w:rsid w:val="009B0E31"/>
    <w:rsid w:val="009B2322"/>
    <w:rsid w:val="009C0F3D"/>
    <w:rsid w:val="009F0E8D"/>
    <w:rsid w:val="009F37B7"/>
    <w:rsid w:val="009F5E43"/>
    <w:rsid w:val="009F6A53"/>
    <w:rsid w:val="00A10F02"/>
    <w:rsid w:val="00A164B4"/>
    <w:rsid w:val="00A17802"/>
    <w:rsid w:val="00A26956"/>
    <w:rsid w:val="00A41E85"/>
    <w:rsid w:val="00A53724"/>
    <w:rsid w:val="00A67699"/>
    <w:rsid w:val="00A73129"/>
    <w:rsid w:val="00A817A7"/>
    <w:rsid w:val="00A82346"/>
    <w:rsid w:val="00A826A1"/>
    <w:rsid w:val="00A92BA1"/>
    <w:rsid w:val="00AC6BC6"/>
    <w:rsid w:val="00AC6DB6"/>
    <w:rsid w:val="00AD084F"/>
    <w:rsid w:val="00AD5712"/>
    <w:rsid w:val="00AE3797"/>
    <w:rsid w:val="00AE4140"/>
    <w:rsid w:val="00AF5FF7"/>
    <w:rsid w:val="00B0333C"/>
    <w:rsid w:val="00B132B8"/>
    <w:rsid w:val="00B13300"/>
    <w:rsid w:val="00B15449"/>
    <w:rsid w:val="00B169CD"/>
    <w:rsid w:val="00B2039B"/>
    <w:rsid w:val="00B242EC"/>
    <w:rsid w:val="00B2481F"/>
    <w:rsid w:val="00B27305"/>
    <w:rsid w:val="00B401C8"/>
    <w:rsid w:val="00B46077"/>
    <w:rsid w:val="00B50B4B"/>
    <w:rsid w:val="00B55C02"/>
    <w:rsid w:val="00B64E70"/>
    <w:rsid w:val="00B76B17"/>
    <w:rsid w:val="00B93086"/>
    <w:rsid w:val="00BA1405"/>
    <w:rsid w:val="00BA19ED"/>
    <w:rsid w:val="00BA300B"/>
    <w:rsid w:val="00BA4B8D"/>
    <w:rsid w:val="00BC0F7D"/>
    <w:rsid w:val="00BC4416"/>
    <w:rsid w:val="00BD401E"/>
    <w:rsid w:val="00BD658E"/>
    <w:rsid w:val="00BE3255"/>
    <w:rsid w:val="00BE414D"/>
    <w:rsid w:val="00BF128E"/>
    <w:rsid w:val="00C0487B"/>
    <w:rsid w:val="00C1496A"/>
    <w:rsid w:val="00C33079"/>
    <w:rsid w:val="00C43826"/>
    <w:rsid w:val="00C45231"/>
    <w:rsid w:val="00C57F61"/>
    <w:rsid w:val="00C65899"/>
    <w:rsid w:val="00C663E3"/>
    <w:rsid w:val="00C724D1"/>
    <w:rsid w:val="00C72678"/>
    <w:rsid w:val="00C72833"/>
    <w:rsid w:val="00C74454"/>
    <w:rsid w:val="00C80F1D"/>
    <w:rsid w:val="00C93F40"/>
    <w:rsid w:val="00CA3D0C"/>
    <w:rsid w:val="00CA53AF"/>
    <w:rsid w:val="00CB76BF"/>
    <w:rsid w:val="00CD1DAA"/>
    <w:rsid w:val="00CF20E3"/>
    <w:rsid w:val="00D14C7B"/>
    <w:rsid w:val="00D309CC"/>
    <w:rsid w:val="00D42704"/>
    <w:rsid w:val="00D46431"/>
    <w:rsid w:val="00D56A52"/>
    <w:rsid w:val="00D57972"/>
    <w:rsid w:val="00D675A9"/>
    <w:rsid w:val="00D738D6"/>
    <w:rsid w:val="00D73F34"/>
    <w:rsid w:val="00D755EB"/>
    <w:rsid w:val="00D87E00"/>
    <w:rsid w:val="00D90D8F"/>
    <w:rsid w:val="00D9134D"/>
    <w:rsid w:val="00D92193"/>
    <w:rsid w:val="00D92ACE"/>
    <w:rsid w:val="00D9381C"/>
    <w:rsid w:val="00DA7A03"/>
    <w:rsid w:val="00DB1818"/>
    <w:rsid w:val="00DB7CB6"/>
    <w:rsid w:val="00DC2F94"/>
    <w:rsid w:val="00DC309B"/>
    <w:rsid w:val="00DC4DA2"/>
    <w:rsid w:val="00DC6353"/>
    <w:rsid w:val="00DD215B"/>
    <w:rsid w:val="00DD275E"/>
    <w:rsid w:val="00DD4C17"/>
    <w:rsid w:val="00DE5FAA"/>
    <w:rsid w:val="00DE7963"/>
    <w:rsid w:val="00DE7EB0"/>
    <w:rsid w:val="00DF2B1F"/>
    <w:rsid w:val="00DF6189"/>
    <w:rsid w:val="00DF61F6"/>
    <w:rsid w:val="00DF62CD"/>
    <w:rsid w:val="00E16509"/>
    <w:rsid w:val="00E275EE"/>
    <w:rsid w:val="00E44582"/>
    <w:rsid w:val="00E477FA"/>
    <w:rsid w:val="00E47D65"/>
    <w:rsid w:val="00E52814"/>
    <w:rsid w:val="00E71789"/>
    <w:rsid w:val="00E72324"/>
    <w:rsid w:val="00E72ABE"/>
    <w:rsid w:val="00E77645"/>
    <w:rsid w:val="00E874B5"/>
    <w:rsid w:val="00EA1F10"/>
    <w:rsid w:val="00EB7A00"/>
    <w:rsid w:val="00EC2046"/>
    <w:rsid w:val="00EC4A25"/>
    <w:rsid w:val="00EE0A7F"/>
    <w:rsid w:val="00EE2326"/>
    <w:rsid w:val="00EE271A"/>
    <w:rsid w:val="00EE40A1"/>
    <w:rsid w:val="00EE5AA7"/>
    <w:rsid w:val="00EE7E5C"/>
    <w:rsid w:val="00F01FD9"/>
    <w:rsid w:val="00F025A2"/>
    <w:rsid w:val="00F04712"/>
    <w:rsid w:val="00F11A80"/>
    <w:rsid w:val="00F12047"/>
    <w:rsid w:val="00F210B3"/>
    <w:rsid w:val="00F21311"/>
    <w:rsid w:val="00F22EC7"/>
    <w:rsid w:val="00F325C8"/>
    <w:rsid w:val="00F4314B"/>
    <w:rsid w:val="00F62AEB"/>
    <w:rsid w:val="00F63457"/>
    <w:rsid w:val="00F653B8"/>
    <w:rsid w:val="00F70647"/>
    <w:rsid w:val="00F8674C"/>
    <w:rsid w:val="00F907DC"/>
    <w:rsid w:val="00F93F26"/>
    <w:rsid w:val="00FA1266"/>
    <w:rsid w:val="00FA442A"/>
    <w:rsid w:val="00FA63FF"/>
    <w:rsid w:val="00FB4E37"/>
    <w:rsid w:val="00FC1192"/>
    <w:rsid w:val="00FE05D7"/>
    <w:rsid w:val="00FE1A7E"/>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816B06"/>
    <w:rPr>
      <w:sz w:val="16"/>
      <w:szCs w:val="16"/>
    </w:rPr>
  </w:style>
  <w:style w:type="paragraph" w:styleId="CommentText">
    <w:name w:val="annotation text"/>
    <w:basedOn w:val="Normal"/>
    <w:link w:val="CommentTextChar"/>
    <w:rsid w:val="00816B06"/>
  </w:style>
  <w:style w:type="character" w:customStyle="1" w:styleId="CommentTextChar">
    <w:name w:val="Comment Text Char"/>
    <w:basedOn w:val="DefaultParagraphFont"/>
    <w:link w:val="CommentText"/>
    <w:rsid w:val="00816B06"/>
    <w:rPr>
      <w:lang w:eastAsia="en-US"/>
    </w:rPr>
  </w:style>
  <w:style w:type="paragraph" w:styleId="CommentSubject">
    <w:name w:val="annotation subject"/>
    <w:basedOn w:val="CommentText"/>
    <w:next w:val="CommentText"/>
    <w:link w:val="CommentSubjectChar"/>
    <w:rsid w:val="00816B06"/>
    <w:rPr>
      <w:b/>
      <w:bCs/>
    </w:rPr>
  </w:style>
  <w:style w:type="character" w:customStyle="1" w:styleId="CommentSubjectChar">
    <w:name w:val="Comment Subject Char"/>
    <w:basedOn w:val="CommentTextChar"/>
    <w:link w:val="CommentSubject"/>
    <w:rsid w:val="00816B06"/>
    <w:rPr>
      <w:b/>
      <w:bCs/>
      <w:lang w:eastAsia="en-US"/>
    </w:rPr>
  </w:style>
  <w:style w:type="character" w:customStyle="1" w:styleId="TALCar">
    <w:name w:val="TAL Car"/>
    <w:basedOn w:val="DefaultParagraphFont"/>
    <w:link w:val="TAL"/>
    <w:qFormat/>
    <w:locked/>
    <w:rsid w:val="00654787"/>
    <w:rPr>
      <w:rFonts w:ascii="Arial" w:hAnsi="Arial"/>
      <w:sz w:val="18"/>
      <w:lang w:eastAsia="en-US"/>
    </w:rPr>
  </w:style>
  <w:style w:type="character" w:customStyle="1" w:styleId="TANChar">
    <w:name w:val="TAN Char"/>
    <w:link w:val="TAN"/>
    <w:rsid w:val="006547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5660">
      <w:bodyDiv w:val="1"/>
      <w:marLeft w:val="0"/>
      <w:marRight w:val="0"/>
      <w:marTop w:val="0"/>
      <w:marBottom w:val="0"/>
      <w:divBdr>
        <w:top w:val="none" w:sz="0" w:space="0" w:color="auto"/>
        <w:left w:val="none" w:sz="0" w:space="0" w:color="auto"/>
        <w:bottom w:val="none" w:sz="0" w:space="0" w:color="auto"/>
        <w:right w:val="none" w:sz="0" w:space="0" w:color="auto"/>
      </w:divBdr>
    </w:div>
    <w:div w:id="108742718">
      <w:bodyDiv w:val="1"/>
      <w:marLeft w:val="0"/>
      <w:marRight w:val="0"/>
      <w:marTop w:val="0"/>
      <w:marBottom w:val="0"/>
      <w:divBdr>
        <w:top w:val="none" w:sz="0" w:space="0" w:color="auto"/>
        <w:left w:val="none" w:sz="0" w:space="0" w:color="auto"/>
        <w:bottom w:val="none" w:sz="0" w:space="0" w:color="auto"/>
        <w:right w:val="none" w:sz="0" w:space="0" w:color="auto"/>
      </w:divBdr>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790172281">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274412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D930B-B480-BD4B-A165-8FEF5209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3</Pages>
  <Words>1160</Words>
  <Characters>6258</Characters>
  <Application>Microsoft Office Word</Application>
  <DocSecurity>0</DocSecurity>
  <Lines>240</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2019-02-25T11:05:00Z</cp:lastPrinted>
  <dcterms:created xsi:type="dcterms:W3CDTF">2021-05-10T05:53:00Z</dcterms:created>
  <dcterms:modified xsi:type="dcterms:W3CDTF">2021-05-11T08:40:00Z</dcterms:modified>
  <cp:category/>
</cp:coreProperties>
</file>